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357C2">
        <w:rPr>
          <w:rFonts w:ascii="Times New Roman" w:hAnsi="Times New Roman" w:cs="Times New Roman"/>
          <w:b/>
          <w:sz w:val="28"/>
          <w:szCs w:val="28"/>
        </w:rPr>
        <w:t>__________№______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ПРИВАТИЗАЦІЇ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територіальних громад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</w:rPr>
        <w:t>сіл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</w:rPr>
        <w:t xml:space="preserve">, селища </w:t>
      </w:r>
      <w:r w:rsidRPr="006C67E7">
        <w:rPr>
          <w:rFonts w:ascii="Times New Roman" w:hAnsi="Times New Roman" w:cs="Times New Roman"/>
          <w:b/>
          <w:bCs/>
          <w:sz w:val="28"/>
          <w:szCs w:val="28"/>
        </w:rPr>
        <w:t>Ужгородського району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67E7">
        <w:rPr>
          <w:rFonts w:ascii="Times New Roman" w:hAnsi="Times New Roman" w:cs="Times New Roman"/>
          <w:b/>
          <w:sz w:val="28"/>
          <w:szCs w:val="28"/>
        </w:rPr>
        <w:t>на 201</w:t>
      </w:r>
      <w:r w:rsidR="008357C2">
        <w:rPr>
          <w:rFonts w:ascii="Times New Roman" w:hAnsi="Times New Roman" w:cs="Times New Roman"/>
          <w:b/>
          <w:sz w:val="28"/>
          <w:szCs w:val="28"/>
        </w:rPr>
        <w:t>9</w:t>
      </w:r>
      <w:r w:rsidRPr="006C67E7">
        <w:rPr>
          <w:rFonts w:ascii="Times New Roman" w:hAnsi="Times New Roman" w:cs="Times New Roman"/>
          <w:b/>
          <w:sz w:val="28"/>
          <w:szCs w:val="28"/>
        </w:rPr>
        <w:t>-20</w:t>
      </w:r>
      <w:r w:rsidR="008357C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C67E7">
        <w:rPr>
          <w:rFonts w:ascii="Times New Roman" w:hAnsi="Times New Roman" w:cs="Times New Roman"/>
          <w:b/>
          <w:sz w:val="28"/>
          <w:szCs w:val="28"/>
        </w:rPr>
        <w:t xml:space="preserve">роки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Default="00AD385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8357C2" w:rsidRPr="008357C2" w:rsidRDefault="008357C2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1.1. Програма приватизації об’єктів </w:t>
      </w:r>
      <w:r w:rsidRPr="00CC17E9">
        <w:rPr>
          <w:rFonts w:ascii="Times New Roman" w:hAnsi="Times New Roman" w:cs="Times New Roman"/>
          <w:bCs/>
          <w:sz w:val="28"/>
          <w:szCs w:val="28"/>
        </w:rPr>
        <w:t>спільної 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CC17E9">
        <w:rPr>
          <w:rFonts w:ascii="Times New Roman" w:hAnsi="Times New Roman" w:cs="Times New Roman"/>
          <w:bCs/>
          <w:sz w:val="28"/>
          <w:szCs w:val="28"/>
        </w:rPr>
        <w:t xml:space="preserve"> сіл,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на 20</w:t>
      </w:r>
      <w:r w:rsidR="008357C2">
        <w:rPr>
          <w:rFonts w:ascii="Times New Roman" w:hAnsi="Times New Roman" w:cs="Times New Roman"/>
          <w:sz w:val="28"/>
          <w:szCs w:val="28"/>
        </w:rPr>
        <w:t>19</w:t>
      </w:r>
      <w:r w:rsidRPr="006C67E7">
        <w:rPr>
          <w:rFonts w:ascii="Times New Roman" w:hAnsi="Times New Roman" w:cs="Times New Roman"/>
          <w:sz w:val="28"/>
          <w:szCs w:val="28"/>
        </w:rPr>
        <w:t>-20</w:t>
      </w:r>
      <w:r w:rsidR="008357C2">
        <w:rPr>
          <w:rFonts w:ascii="Times New Roman" w:hAnsi="Times New Roman" w:cs="Times New Roman"/>
          <w:sz w:val="28"/>
          <w:szCs w:val="28"/>
        </w:rPr>
        <w:t>20</w:t>
      </w:r>
      <w:r w:rsidRPr="006C67E7">
        <w:rPr>
          <w:rFonts w:ascii="Times New Roman" w:hAnsi="Times New Roman" w:cs="Times New Roman"/>
          <w:sz w:val="28"/>
          <w:szCs w:val="28"/>
        </w:rPr>
        <w:t xml:space="preserve"> роки (надалі – Програма) визначає основну мету, шляхи, способи, заходи і завдання приватизації комунального майна </w:t>
      </w:r>
      <w:r>
        <w:rPr>
          <w:rFonts w:ascii="Times New Roman" w:hAnsi="Times New Roman" w:cs="Times New Roman"/>
          <w:sz w:val="28"/>
          <w:szCs w:val="28"/>
        </w:rPr>
        <w:t>Ужгородської районної ради</w:t>
      </w:r>
      <w:r w:rsidRPr="006C67E7">
        <w:rPr>
          <w:rFonts w:ascii="Times New Roman" w:hAnsi="Times New Roman" w:cs="Times New Roman"/>
          <w:sz w:val="28"/>
          <w:szCs w:val="28"/>
        </w:rPr>
        <w:t xml:space="preserve">. Ця Програма діє до її завершення або затвердження чергової програми приватизації </w:t>
      </w:r>
      <w:r>
        <w:rPr>
          <w:rFonts w:ascii="Times New Roman" w:hAnsi="Times New Roman" w:cs="Times New Roman"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</w:rPr>
        <w:t>спільної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ED1A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</w:rPr>
        <w:t>сіл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</w:rPr>
        <w:t xml:space="preserve">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1.2. Програма розроблена відповідно до діючого законодавства України.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1.3. Основною метою приватизації у 20</w:t>
      </w:r>
      <w:r w:rsidR="008357C2">
        <w:rPr>
          <w:rFonts w:ascii="Times New Roman" w:hAnsi="Times New Roman" w:cs="Times New Roman"/>
          <w:sz w:val="28"/>
          <w:szCs w:val="28"/>
        </w:rPr>
        <w:t>19</w:t>
      </w:r>
      <w:r w:rsidRPr="006C67E7">
        <w:rPr>
          <w:rFonts w:ascii="Times New Roman" w:hAnsi="Times New Roman" w:cs="Times New Roman"/>
          <w:sz w:val="28"/>
          <w:szCs w:val="28"/>
        </w:rPr>
        <w:t>-20</w:t>
      </w:r>
      <w:r w:rsidR="008357C2">
        <w:rPr>
          <w:rFonts w:ascii="Times New Roman" w:hAnsi="Times New Roman" w:cs="Times New Roman"/>
          <w:sz w:val="28"/>
          <w:szCs w:val="28"/>
        </w:rPr>
        <w:t xml:space="preserve">20 </w:t>
      </w:r>
      <w:r w:rsidRPr="006C67E7">
        <w:rPr>
          <w:rFonts w:ascii="Times New Roman" w:hAnsi="Times New Roman" w:cs="Times New Roman"/>
          <w:sz w:val="28"/>
          <w:szCs w:val="28"/>
        </w:rPr>
        <w:t>роках є підвищення соціально-економічної ефективності використання майна, створення конкурентного середовища та забезпечення надходження коштів від приватизації до бюджету розвитку Ужгород</w:t>
      </w:r>
      <w:r>
        <w:rPr>
          <w:rFonts w:ascii="Times New Roman" w:hAnsi="Times New Roman" w:cs="Times New Roman"/>
          <w:sz w:val="28"/>
          <w:szCs w:val="28"/>
        </w:rPr>
        <w:t>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1.4. Доходи від відчуження об'єктів права комунальної власності спрямовуються на фінансування заходів, передбачених бюджетом розвитку </w:t>
      </w:r>
      <w:r>
        <w:rPr>
          <w:rFonts w:ascii="Times New Roman" w:hAnsi="Times New Roman" w:cs="Times New Roman"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 До пріоритетів проведення приватизації у 20</w:t>
      </w:r>
      <w:r w:rsidR="008357C2">
        <w:rPr>
          <w:rFonts w:ascii="Times New Roman" w:hAnsi="Times New Roman" w:cs="Times New Roman"/>
          <w:sz w:val="28"/>
          <w:szCs w:val="28"/>
        </w:rPr>
        <w:t>19-2020</w:t>
      </w:r>
      <w:r w:rsidRPr="006C67E7">
        <w:rPr>
          <w:rFonts w:ascii="Times New Roman" w:hAnsi="Times New Roman" w:cs="Times New Roman"/>
          <w:sz w:val="28"/>
          <w:szCs w:val="28"/>
        </w:rPr>
        <w:t xml:space="preserve"> роках належать: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1.5.1. Першочерговий продаж дрібних і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малоліквідних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об'є</w:t>
      </w:r>
      <w:r w:rsidR="00FA4B8F">
        <w:rPr>
          <w:rFonts w:ascii="Times New Roman" w:hAnsi="Times New Roman" w:cs="Times New Roman"/>
          <w:sz w:val="28"/>
          <w:szCs w:val="28"/>
        </w:rPr>
        <w:t>ктів нерухо</w:t>
      </w:r>
      <w:bookmarkStart w:id="0" w:name="_GoBack"/>
      <w:bookmarkEnd w:id="0"/>
      <w:r w:rsidR="00FA4B8F">
        <w:rPr>
          <w:rFonts w:ascii="Times New Roman" w:hAnsi="Times New Roman" w:cs="Times New Roman"/>
          <w:sz w:val="28"/>
          <w:szCs w:val="28"/>
        </w:rPr>
        <w:t xml:space="preserve">мого майна </w:t>
      </w:r>
      <w:r w:rsidRPr="006C67E7">
        <w:rPr>
          <w:rFonts w:ascii="Times New Roman" w:hAnsi="Times New Roman" w:cs="Times New Roman"/>
          <w:sz w:val="28"/>
          <w:szCs w:val="28"/>
        </w:rPr>
        <w:t xml:space="preserve">(комплекси будівель, будівлі, вбудовані приміщення).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1.5.2. Досягнення максимальної ефективності продаж</w:t>
      </w:r>
      <w:r>
        <w:rPr>
          <w:rFonts w:ascii="Times New Roman" w:hAnsi="Times New Roman" w:cs="Times New Roman"/>
          <w:sz w:val="28"/>
          <w:szCs w:val="28"/>
        </w:rPr>
        <w:t>у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="008357C2">
        <w:rPr>
          <w:rFonts w:ascii="Times New Roman" w:hAnsi="Times New Roman" w:cs="Times New Roman"/>
          <w:sz w:val="28"/>
          <w:szCs w:val="28"/>
        </w:rPr>
        <w:t xml:space="preserve"> </w:t>
      </w:r>
      <w:r w:rsidRPr="006C67E7">
        <w:rPr>
          <w:rFonts w:ascii="Times New Roman" w:hAnsi="Times New Roman" w:cs="Times New Roman"/>
          <w:sz w:val="28"/>
          <w:szCs w:val="28"/>
        </w:rPr>
        <w:t xml:space="preserve">Продаж високоліквідних об'єктів для забезпечення виконання бюджетних завдань.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1.5.4. Забезпечення збільшення надходження до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коштів від приватизації через підвищення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конкурентності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та прозорості продажів.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1.5.5. Врахування індивідуальних особливостей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1.6. Виходячи з пріоритетів приватизації, визначених цією Програмою, встановлюються завдання щодо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67E7">
        <w:rPr>
          <w:rFonts w:ascii="Times New Roman" w:hAnsi="Times New Roman" w:cs="Times New Roman"/>
          <w:sz w:val="28"/>
          <w:szCs w:val="28"/>
        </w:rPr>
        <w:t>риватизації об'єктів, подальше перебування у комунальній власності яких є економічно недоцільним.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655">
        <w:rPr>
          <w:rFonts w:ascii="Times New Roman" w:hAnsi="Times New Roman" w:cs="Times New Roman"/>
          <w:sz w:val="28"/>
          <w:szCs w:val="28"/>
        </w:rPr>
        <w:t xml:space="preserve">1.7. Продавцем об'єктів приватизації, що перебувають у комунальній власності </w:t>
      </w:r>
      <w:r>
        <w:rPr>
          <w:rFonts w:ascii="Times New Roman" w:hAnsi="Times New Roman" w:cs="Times New Roman"/>
          <w:sz w:val="28"/>
          <w:szCs w:val="28"/>
        </w:rPr>
        <w:t xml:space="preserve">сіл, селища Ужгородського району </w:t>
      </w:r>
      <w:r w:rsidRPr="00F57655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Ужгородська районна рада</w:t>
      </w:r>
      <w:r w:rsidR="008357C2">
        <w:rPr>
          <w:rFonts w:ascii="Times New Roman" w:hAnsi="Times New Roman" w:cs="Times New Roman"/>
          <w:sz w:val="28"/>
          <w:szCs w:val="28"/>
        </w:rPr>
        <w:t xml:space="preserve"> (надалі – О</w:t>
      </w:r>
      <w:r w:rsidRPr="00F57655">
        <w:rPr>
          <w:rFonts w:ascii="Times New Roman" w:hAnsi="Times New Roman" w:cs="Times New Roman"/>
          <w:sz w:val="28"/>
          <w:szCs w:val="28"/>
        </w:rPr>
        <w:t>рган приватизації).</w:t>
      </w:r>
    </w:p>
    <w:p w:rsidR="00962B0F" w:rsidRDefault="00962B0F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B0F" w:rsidRDefault="00962B0F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D8B" w:rsidRDefault="00581D8B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Pr="00F57655" w:rsidRDefault="00FF5BA4" w:rsidP="00FF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F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7655">
        <w:rPr>
          <w:rFonts w:ascii="Times New Roman" w:hAnsi="Times New Roman" w:cs="Times New Roman"/>
          <w:bCs/>
          <w:sz w:val="24"/>
          <w:szCs w:val="24"/>
        </w:rPr>
        <w:t>.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МЕТА ПРОГРАМИ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356">
        <w:rPr>
          <w:rFonts w:ascii="Times New Roman" w:hAnsi="Times New Roman" w:cs="Times New Roman"/>
          <w:b/>
          <w:bCs/>
          <w:sz w:val="24"/>
          <w:szCs w:val="24"/>
        </w:rPr>
        <w:t>ЗАХОДИ З РЕАЛІЗАЦІЇ МЕТИ ТА СПОСОБИ ЇЇ ДОСЯГНЕННЯ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C3AD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55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створення умов ринкового середовища, прискорення структурної перебудови і розвитку економіки району, а також</w:t>
      </w:r>
      <w:r w:rsidRPr="00F57655">
        <w:rPr>
          <w:rFonts w:ascii="Times New Roman" w:hAnsi="Times New Roman" w:cs="Times New Roman"/>
          <w:sz w:val="28"/>
          <w:szCs w:val="28"/>
        </w:rPr>
        <w:t xml:space="preserve"> збільшення надходжень до</w:t>
      </w:r>
      <w:r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F57655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F57655">
        <w:rPr>
          <w:rFonts w:ascii="Times New Roman" w:hAnsi="Times New Roman" w:cs="Times New Roman"/>
          <w:sz w:val="28"/>
          <w:szCs w:val="28"/>
        </w:rPr>
        <w:t xml:space="preserve"> коштів, одержаних від приватизації, шляхом підвищення прозорості продажу об’єктів приватизації.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A6FF0">
        <w:rPr>
          <w:rFonts w:ascii="Times New Roman" w:hAnsi="Times New Roman" w:cs="Times New Roman"/>
          <w:sz w:val="28"/>
          <w:szCs w:val="28"/>
        </w:rPr>
        <w:t xml:space="preserve">. Активізацію процесу приватизації об’єктів спільної власності територіальної громад сіл, селища Ужгородського району передбачається забезпечити в результаті: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залучення до приватизації більш широкого кола об’єктів комунальної власності Ужгородської районної ради;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 розширення кола потенційних покупців шляхом підвищення рі</w:t>
      </w:r>
      <w:r>
        <w:rPr>
          <w:rFonts w:ascii="Times New Roman" w:hAnsi="Times New Roman" w:cs="Times New Roman"/>
          <w:sz w:val="28"/>
          <w:szCs w:val="28"/>
        </w:rPr>
        <w:t>вня їх поінформованості.</w:t>
      </w:r>
    </w:p>
    <w:p w:rsidR="00FF5BA4" w:rsidRDefault="00FF5BA4" w:rsidP="00FF5BA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Залучення до приватизації інвесторів, </w:t>
      </w:r>
      <w:r>
        <w:rPr>
          <w:rFonts w:ascii="Times New Roman" w:hAnsi="Times New Roman" w:cs="Times New Roman"/>
          <w:sz w:val="28"/>
          <w:szCs w:val="28"/>
        </w:rPr>
        <w:t>зацікавлених</w:t>
      </w:r>
      <w:r w:rsidRPr="000A6FF0">
        <w:rPr>
          <w:rFonts w:ascii="Times New Roman" w:hAnsi="Times New Roman" w:cs="Times New Roman"/>
          <w:sz w:val="28"/>
          <w:szCs w:val="28"/>
        </w:rPr>
        <w:t xml:space="preserve"> у довгостроковому розвитку об’єкта спільної  власності територіальної громад сіл, селища Ужгородського району, здійснюється із застосуванням 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F0">
        <w:rPr>
          <w:rFonts w:ascii="Times New Roman" w:hAnsi="Times New Roman" w:cs="Times New Roman"/>
          <w:sz w:val="28"/>
          <w:szCs w:val="28"/>
        </w:rPr>
        <w:t>вивчення кон’юнктури ринку приватизаційних продажів, попиту на об’єкти приватизації шляхом підвищення рівня поінфор</w:t>
      </w:r>
      <w:r>
        <w:rPr>
          <w:rFonts w:ascii="Times New Roman" w:hAnsi="Times New Roman" w:cs="Times New Roman"/>
          <w:sz w:val="28"/>
          <w:szCs w:val="28"/>
        </w:rPr>
        <w:t>мованості потенційних покупців.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Для підвищення рівня привабливості приватизації для інвесторів і створення позитивного іміджу приватизації в </w:t>
      </w:r>
      <w:r>
        <w:rPr>
          <w:rFonts w:ascii="Times New Roman" w:hAnsi="Times New Roman" w:cs="Times New Roman"/>
          <w:sz w:val="28"/>
          <w:szCs w:val="28"/>
        </w:rPr>
        <w:t>районі</w:t>
      </w:r>
      <w:r w:rsidRPr="000A6FF0">
        <w:rPr>
          <w:rFonts w:ascii="Times New Roman" w:hAnsi="Times New Roman" w:cs="Times New Roman"/>
          <w:sz w:val="28"/>
          <w:szCs w:val="28"/>
        </w:rPr>
        <w:t xml:space="preserve"> передбачається забезпечити: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прозорість і публічність прийняття рішень, визначення способу та умов приватизації, а також усіх процедур з підготовки та продажу об’єктів;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провадження інформаційної та рекламної діяльності з питань приватизації, висвітлення приватизаційних процесів шляхом оприлюднення відповідних відомостей у засобах масової інформації. </w:t>
      </w:r>
    </w:p>
    <w:p w:rsidR="00FF5BA4" w:rsidRDefault="00FF5BA4" w:rsidP="00FF5B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Об’єкти можуть включатися у відповідні переліки протягом усього періоду дії Програми за наявності відповідної ініціативи. Об’єкти</w:t>
      </w:r>
      <w:r w:rsidR="008357C2">
        <w:rPr>
          <w:rFonts w:ascii="Times New Roman" w:hAnsi="Times New Roman" w:cs="Times New Roman"/>
          <w:sz w:val="28"/>
          <w:szCs w:val="28"/>
        </w:rPr>
        <w:t xml:space="preserve">, </w:t>
      </w:r>
      <w:r w:rsidRPr="000A6FF0">
        <w:rPr>
          <w:rFonts w:ascii="Times New Roman" w:hAnsi="Times New Roman" w:cs="Times New Roman"/>
          <w:sz w:val="28"/>
          <w:szCs w:val="28"/>
        </w:rPr>
        <w:t xml:space="preserve">не приватизовані </w:t>
      </w:r>
      <w:r w:rsidR="008357C2">
        <w:rPr>
          <w:rFonts w:ascii="Times New Roman" w:hAnsi="Times New Roman" w:cs="Times New Roman"/>
          <w:sz w:val="28"/>
          <w:szCs w:val="28"/>
        </w:rPr>
        <w:t xml:space="preserve">за </w:t>
      </w:r>
      <w:r w:rsidRPr="000A6FF0">
        <w:rPr>
          <w:rFonts w:ascii="Times New Roman" w:hAnsi="Times New Roman" w:cs="Times New Roman"/>
          <w:sz w:val="28"/>
          <w:szCs w:val="28"/>
        </w:rPr>
        <w:t>відповідний період</w:t>
      </w:r>
      <w:r w:rsidR="008357C2">
        <w:rPr>
          <w:rFonts w:ascii="Times New Roman" w:hAnsi="Times New Roman" w:cs="Times New Roman"/>
          <w:sz w:val="28"/>
          <w:szCs w:val="28"/>
        </w:rPr>
        <w:t xml:space="preserve">, </w:t>
      </w:r>
      <w:r w:rsidRPr="000A6FF0">
        <w:rPr>
          <w:rFonts w:ascii="Times New Roman" w:hAnsi="Times New Roman" w:cs="Times New Roman"/>
          <w:sz w:val="28"/>
          <w:szCs w:val="28"/>
        </w:rPr>
        <w:t>можуть бути приватизовані у подальшом</w:t>
      </w:r>
      <w:r w:rsidR="008357C2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за згодою </w:t>
      </w:r>
      <w:r w:rsidR="008357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ргану приватизації.</w:t>
      </w:r>
      <w:r w:rsidRPr="001765DA">
        <w:t xml:space="preserve"> </w:t>
      </w:r>
    </w:p>
    <w:p w:rsidR="00FF5BA4" w:rsidRDefault="00FF5BA4" w:rsidP="00F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65DA">
        <w:rPr>
          <w:rFonts w:ascii="Times New Roman" w:hAnsi="Times New Roman" w:cs="Times New Roman"/>
          <w:sz w:val="28"/>
          <w:szCs w:val="28"/>
        </w:rPr>
        <w:t xml:space="preserve"> метою раціонального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1765DA">
        <w:rPr>
          <w:rFonts w:ascii="Times New Roman" w:hAnsi="Times New Roman" w:cs="Times New Roman"/>
          <w:sz w:val="28"/>
          <w:szCs w:val="28"/>
        </w:rPr>
        <w:t>ефективного застосування способів приватизації об'єкт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765DA">
        <w:rPr>
          <w:rFonts w:ascii="Times New Roman" w:hAnsi="Times New Roman" w:cs="Times New Roman"/>
          <w:sz w:val="28"/>
          <w:szCs w:val="28"/>
        </w:rPr>
        <w:t xml:space="preserve">приватизації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такими группами:</w:t>
      </w:r>
    </w:p>
    <w:p w:rsidR="00FF5BA4" w:rsidRPr="00BA134A" w:rsidRDefault="00FF5BA4" w:rsidP="00FF5BA4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134A">
        <w:rPr>
          <w:sz w:val="28"/>
          <w:szCs w:val="28"/>
          <w:lang w:val="uk-UA"/>
        </w:rPr>
        <w:t xml:space="preserve">Група А – </w:t>
      </w:r>
      <w:r w:rsidRPr="00BA134A">
        <w:rPr>
          <w:color w:val="000000"/>
          <w:sz w:val="28"/>
          <w:szCs w:val="28"/>
          <w:lang w:val="uk-UA"/>
        </w:rPr>
        <w:t>єдині майнові комплекси державних підприємств, їх структурн</w:t>
      </w:r>
      <w:r>
        <w:rPr>
          <w:color w:val="000000"/>
          <w:sz w:val="28"/>
          <w:szCs w:val="28"/>
          <w:lang w:val="uk-UA"/>
        </w:rPr>
        <w:t>і</w:t>
      </w:r>
      <w:r w:rsidRPr="00BA134A">
        <w:rPr>
          <w:color w:val="000000"/>
          <w:sz w:val="28"/>
          <w:szCs w:val="28"/>
          <w:lang w:val="uk-UA"/>
        </w:rPr>
        <w:t xml:space="preserve"> підрозділ</w:t>
      </w:r>
      <w:r>
        <w:rPr>
          <w:color w:val="000000"/>
          <w:sz w:val="28"/>
          <w:szCs w:val="28"/>
          <w:lang w:val="uk-UA"/>
        </w:rPr>
        <w:t>и</w:t>
      </w:r>
      <w:r w:rsidRPr="00BA134A">
        <w:rPr>
          <w:color w:val="000000"/>
          <w:sz w:val="28"/>
          <w:szCs w:val="28"/>
          <w:lang w:val="uk-UA"/>
        </w:rPr>
        <w:t>, які можуть бути виділені в самостійні суб’єкти господарювання - юридичні особи (у тому числі ті, що передані в оренду, перебувають у процесі реструктуризації), на яких середньооблікова чисельність працюючих за звітний (фінансовий) рік не перевищує 100 осіб, а обсяг валового доходу від реалізації продукції (робіт, послуг) за такий період не перевищує 70 мільйонів гривень та/або вартості майна яких недостатньо для формування статутного капіталу господарського товариства, у тому числі разом із земельними ділянками державної власності, на яких вони розташовані; окреме індивідуально визначене майно, у тому числі разом із земельними ділянками державної власності, на яких таке майно розташовано.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580"/>
      <w:bookmarkEnd w:id="1"/>
      <w:r w:rsidRPr="00BA134A">
        <w:rPr>
          <w:color w:val="000000"/>
          <w:sz w:val="28"/>
          <w:szCs w:val="28"/>
          <w:lang w:val="uk-UA"/>
        </w:rPr>
        <w:lastRenderedPageBreak/>
        <w:t xml:space="preserve">Окремим індивідуально визначеним майном вважається рухоме та нерухоме майно державних підприємств (у тому числі будівлі, споруди, нежитлові приміщення), майно, що залишилося після закінчення процедури ліквідації державних підприємств, визнаних банкрутами; майно підприємств, що ліквідуються за рішенням органу, уповноваженого управляти державним майном; майно державних підприємств, що не були продані як єдині майнові комплекси; </w:t>
      </w:r>
      <w:r w:rsidRPr="003A6325">
        <w:rPr>
          <w:color w:val="000000"/>
          <w:sz w:val="28"/>
          <w:szCs w:val="28"/>
          <w:lang w:val="uk-UA"/>
        </w:rPr>
        <w:t>державне майно, що не увійшло до статутного капіталу господарських товариств;</w:t>
      </w:r>
    </w:p>
    <w:p w:rsidR="00FF5BA4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6325">
        <w:rPr>
          <w:color w:val="000000"/>
          <w:sz w:val="28"/>
          <w:szCs w:val="28"/>
          <w:shd w:val="clear" w:color="auto" w:fill="FFFFFF"/>
          <w:lang w:val="uk-UA"/>
        </w:rPr>
        <w:t xml:space="preserve">група В - </w:t>
      </w:r>
      <w:r w:rsidRPr="003A6325">
        <w:rPr>
          <w:color w:val="000000"/>
          <w:sz w:val="28"/>
          <w:szCs w:val="28"/>
          <w:lang w:val="uk-UA"/>
        </w:rPr>
        <w:t>єдині майнові комплекси державних підприємств (у тому числі ті, що передані в оренду), їх структурних підрозділів, на яких середньооблікова чисельність працюючих за звітний (фінансовий) рік перевищує 100 осіб, а обсяг валового доходу від реалізації продукції (робіт, послуг) за такий період перевищує 70 мільйонів гривень та/або вартість майна яких достатня для формування статутного капіталу акціонерного товариства, у тому числі разом із земельними ділянками державної власності, на яких вони розташовані; акції акціонерного товариства, утвореного в процесі приватизації та корпоратизації (крім об’єктів групи Г); єдині майнові комплекси підприємств і організацій сільського, рибного господарства та агропромислового комплексу незалежно від вартості майна та середньооблікової чисельності працюючих, у тому числі разом із земельними ділянками державної власності, на яких вони розташовані;</w:t>
      </w:r>
      <w:bookmarkStart w:id="2" w:name="n582"/>
      <w:bookmarkEnd w:id="2"/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A6325">
        <w:rPr>
          <w:color w:val="000000"/>
          <w:sz w:val="28"/>
          <w:szCs w:val="28"/>
        </w:rPr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Г - </w:t>
      </w:r>
      <w:proofErr w:type="spellStart"/>
      <w:r w:rsidRPr="003A6325">
        <w:rPr>
          <w:color w:val="000000"/>
          <w:sz w:val="28"/>
          <w:szCs w:val="28"/>
        </w:rPr>
        <w:t>єдині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майнові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комплекси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ідприємств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акції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акціонерних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на момент </w:t>
      </w:r>
      <w:proofErr w:type="spellStart"/>
      <w:r w:rsidRPr="003A6325">
        <w:rPr>
          <w:color w:val="000000"/>
          <w:sz w:val="28"/>
          <w:szCs w:val="28"/>
        </w:rPr>
        <w:t>прийняття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рішення</w:t>
      </w:r>
      <w:proofErr w:type="spellEnd"/>
      <w:r w:rsidRPr="003A6325">
        <w:rPr>
          <w:color w:val="000000"/>
          <w:sz w:val="28"/>
          <w:szCs w:val="28"/>
        </w:rPr>
        <w:t xml:space="preserve"> про </w:t>
      </w:r>
      <w:proofErr w:type="spellStart"/>
      <w:r w:rsidRPr="003A6325">
        <w:rPr>
          <w:color w:val="000000"/>
          <w:sz w:val="28"/>
          <w:szCs w:val="28"/>
        </w:rPr>
        <w:t>приватизацію</w:t>
      </w:r>
      <w:proofErr w:type="spellEnd"/>
      <w:r w:rsidRPr="003A6325">
        <w:rPr>
          <w:color w:val="000000"/>
          <w:sz w:val="28"/>
          <w:szCs w:val="28"/>
        </w:rPr>
        <w:t xml:space="preserve"> (продаж)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стратегічне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значення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економіки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безпеки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або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ознаки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домінування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загальнодержавному</w:t>
      </w:r>
      <w:proofErr w:type="spellEnd"/>
      <w:r w:rsidRPr="003A6325">
        <w:rPr>
          <w:color w:val="000000"/>
          <w:sz w:val="28"/>
          <w:szCs w:val="28"/>
        </w:rPr>
        <w:t xml:space="preserve"> ринку </w:t>
      </w:r>
      <w:proofErr w:type="spellStart"/>
      <w:r w:rsidRPr="003A6325">
        <w:rPr>
          <w:color w:val="000000"/>
          <w:sz w:val="28"/>
          <w:szCs w:val="28"/>
        </w:rPr>
        <w:t>товарів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робіт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послуг</w:t>
      </w:r>
      <w:proofErr w:type="spellEnd"/>
      <w:r w:rsidRPr="003A6325">
        <w:rPr>
          <w:color w:val="000000"/>
          <w:sz w:val="28"/>
          <w:szCs w:val="28"/>
        </w:rPr>
        <w:t xml:space="preserve">),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 оборонно-</w:t>
      </w:r>
      <w:proofErr w:type="spellStart"/>
      <w:r w:rsidRPr="003A6325">
        <w:rPr>
          <w:color w:val="000000"/>
          <w:sz w:val="28"/>
          <w:szCs w:val="28"/>
        </w:rPr>
        <w:t>промислового</w:t>
      </w:r>
      <w:proofErr w:type="spellEnd"/>
      <w:r w:rsidRPr="003A6325">
        <w:rPr>
          <w:color w:val="000000"/>
          <w:sz w:val="28"/>
          <w:szCs w:val="28"/>
        </w:rPr>
        <w:t xml:space="preserve"> комплексу, а </w:t>
      </w:r>
      <w:proofErr w:type="spellStart"/>
      <w:r w:rsidRPr="003A6325">
        <w:rPr>
          <w:color w:val="000000"/>
          <w:sz w:val="28"/>
          <w:szCs w:val="28"/>
        </w:rPr>
        <w:t>також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визначені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уповноваженими</w:t>
      </w:r>
      <w:proofErr w:type="spellEnd"/>
      <w:r w:rsidRPr="003A6325">
        <w:rPr>
          <w:color w:val="000000"/>
          <w:sz w:val="28"/>
          <w:szCs w:val="28"/>
        </w:rPr>
        <w:t xml:space="preserve"> органами </w:t>
      </w:r>
      <w:proofErr w:type="spellStart"/>
      <w:r w:rsidRPr="003A6325">
        <w:rPr>
          <w:color w:val="000000"/>
          <w:sz w:val="28"/>
          <w:szCs w:val="28"/>
        </w:rPr>
        <w:t>управління</w:t>
      </w:r>
      <w:proofErr w:type="spellEnd"/>
      <w:r w:rsidRPr="003A6325">
        <w:rPr>
          <w:color w:val="000000"/>
          <w:sz w:val="28"/>
          <w:szCs w:val="28"/>
        </w:rPr>
        <w:t xml:space="preserve"> як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потребують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застосування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індивідуального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ідходу</w:t>
      </w:r>
      <w:proofErr w:type="spellEnd"/>
      <w:r w:rsidRPr="003A6325">
        <w:rPr>
          <w:color w:val="000000"/>
          <w:sz w:val="28"/>
          <w:szCs w:val="28"/>
        </w:rPr>
        <w:t xml:space="preserve"> до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унікальні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виробництва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використовують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рідкісні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ресурси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нематеріальні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активи</w:t>
      </w:r>
      <w:proofErr w:type="spellEnd"/>
      <w:r w:rsidRPr="003A6325">
        <w:rPr>
          <w:color w:val="000000"/>
          <w:sz w:val="28"/>
          <w:szCs w:val="28"/>
        </w:rPr>
        <w:t xml:space="preserve">, ноу-хау, </w:t>
      </w:r>
      <w:proofErr w:type="spellStart"/>
      <w:r w:rsidRPr="003A6325">
        <w:rPr>
          <w:color w:val="000000"/>
          <w:sz w:val="28"/>
          <w:szCs w:val="28"/>
        </w:rPr>
        <w:t>включаючи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науково-дослідні</w:t>
      </w:r>
      <w:proofErr w:type="spellEnd"/>
      <w:r w:rsidRPr="003A6325">
        <w:rPr>
          <w:color w:val="000000"/>
          <w:sz w:val="28"/>
          <w:szCs w:val="28"/>
        </w:rPr>
        <w:t xml:space="preserve"> та проектно-</w:t>
      </w:r>
      <w:proofErr w:type="spellStart"/>
      <w:r w:rsidRPr="003A6325">
        <w:rPr>
          <w:color w:val="000000"/>
          <w:sz w:val="28"/>
          <w:szCs w:val="28"/>
        </w:rPr>
        <w:t>конструкторські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організації</w:t>
      </w:r>
      <w:proofErr w:type="spellEnd"/>
      <w:r w:rsidRPr="003A6325">
        <w:rPr>
          <w:color w:val="000000"/>
          <w:sz w:val="28"/>
          <w:szCs w:val="28"/>
        </w:rPr>
        <w:t xml:space="preserve"> та установи,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відповідають</w:t>
      </w:r>
      <w:proofErr w:type="spellEnd"/>
      <w:r w:rsidRPr="003A6325">
        <w:rPr>
          <w:color w:val="000000"/>
          <w:sz w:val="28"/>
          <w:szCs w:val="28"/>
        </w:rPr>
        <w:t xml:space="preserve"> таким </w:t>
      </w:r>
      <w:proofErr w:type="spellStart"/>
      <w:r w:rsidRPr="003A6325">
        <w:rPr>
          <w:color w:val="000000"/>
          <w:sz w:val="28"/>
          <w:szCs w:val="28"/>
        </w:rPr>
        <w:t>вимогам</w:t>
      </w:r>
      <w:proofErr w:type="spellEnd"/>
      <w:r w:rsidRPr="003A6325">
        <w:rPr>
          <w:color w:val="000000"/>
          <w:sz w:val="28"/>
          <w:szCs w:val="28"/>
        </w:rPr>
        <w:t>).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583"/>
      <w:bookmarkEnd w:id="3"/>
      <w:r w:rsidRPr="003A6325">
        <w:rPr>
          <w:color w:val="000000"/>
          <w:sz w:val="28"/>
          <w:szCs w:val="28"/>
          <w:lang w:val="uk-UA"/>
        </w:rPr>
        <w:t>Підприємством, що має ознаки домінування на загальнодержавному ринку товарів (робіт, послуг), вважається підприємство, яке має частку на загальнодержавному ринку товарів (робіт, послуг), що перевищує 35 відсотків, або разом з одним або двома іншими підприємствами має на такому ринку сукупну частку, що перевищує 50 відсотків, або не більш ніж з чотирма іншими підприємствами має на такому ринку сукупну частку, що перевищує 70 відсотків;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584"/>
      <w:bookmarkEnd w:id="4"/>
      <w:r w:rsidRPr="003A6325">
        <w:rPr>
          <w:color w:val="000000"/>
          <w:sz w:val="28"/>
          <w:szCs w:val="28"/>
          <w:lang w:val="uk-UA"/>
        </w:rPr>
        <w:t>група Д - об’єкти незавершеного будівництва (будівлі, споруди, передавальні пристрої, які не введені в експлуатацію), законсервовані об’єкти, у тому числі разом із земельними ділянками державної власності, на яких вони розташовані;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585"/>
      <w:bookmarkEnd w:id="5"/>
      <w:r w:rsidRPr="003A6325">
        <w:rPr>
          <w:color w:val="000000"/>
          <w:sz w:val="28"/>
          <w:szCs w:val="28"/>
          <w:lang w:val="uk-UA"/>
        </w:rPr>
        <w:t>група Е - акції (частки, паї), що належать державі у статутному капіталі господарських товариств, інших господарських організацій і підприємств, заснованих на базі об’єднання майна різних форм власності та розташованих на території України або за її межами;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n586"/>
      <w:bookmarkEnd w:id="6"/>
      <w:proofErr w:type="spellStart"/>
      <w:r w:rsidRPr="003A6325">
        <w:rPr>
          <w:color w:val="000000"/>
          <w:sz w:val="28"/>
          <w:szCs w:val="28"/>
        </w:rPr>
        <w:lastRenderedPageBreak/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Ж -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</w:t>
      </w:r>
      <w:proofErr w:type="spellEnd"/>
      <w:r w:rsidRPr="003A6325">
        <w:rPr>
          <w:color w:val="000000"/>
          <w:sz w:val="28"/>
          <w:szCs w:val="28"/>
        </w:rPr>
        <w:t xml:space="preserve">-культурного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в тому </w:t>
      </w:r>
      <w:proofErr w:type="spellStart"/>
      <w:r w:rsidRPr="003A6325">
        <w:rPr>
          <w:color w:val="000000"/>
          <w:sz w:val="28"/>
          <w:szCs w:val="28"/>
        </w:rPr>
        <w:t>числі</w:t>
      </w:r>
      <w:proofErr w:type="spellEnd"/>
      <w:r w:rsidRPr="003A6325">
        <w:rPr>
          <w:color w:val="000000"/>
          <w:sz w:val="28"/>
          <w:szCs w:val="28"/>
        </w:rPr>
        <w:t xml:space="preserve"> разом </w:t>
      </w:r>
      <w:proofErr w:type="spellStart"/>
      <w:r w:rsidRPr="003A6325">
        <w:rPr>
          <w:color w:val="000000"/>
          <w:sz w:val="28"/>
          <w:szCs w:val="28"/>
        </w:rPr>
        <w:t>із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земельними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ділянками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власності</w:t>
      </w:r>
      <w:proofErr w:type="spellEnd"/>
      <w:r w:rsidRPr="003A6325">
        <w:rPr>
          <w:color w:val="000000"/>
          <w:sz w:val="28"/>
          <w:szCs w:val="28"/>
        </w:rPr>
        <w:t xml:space="preserve">, на </w:t>
      </w:r>
      <w:proofErr w:type="spellStart"/>
      <w:r w:rsidRPr="003A6325">
        <w:rPr>
          <w:color w:val="000000"/>
          <w:sz w:val="28"/>
          <w:szCs w:val="28"/>
        </w:rPr>
        <w:t>яких</w:t>
      </w:r>
      <w:proofErr w:type="spellEnd"/>
      <w:r w:rsidRPr="003A6325">
        <w:rPr>
          <w:color w:val="000000"/>
          <w:sz w:val="28"/>
          <w:szCs w:val="28"/>
        </w:rPr>
        <w:t xml:space="preserve"> вони </w:t>
      </w:r>
      <w:proofErr w:type="spellStart"/>
      <w:r w:rsidRPr="003A6325">
        <w:rPr>
          <w:color w:val="000000"/>
          <w:sz w:val="28"/>
          <w:szCs w:val="28"/>
        </w:rPr>
        <w:t>розташовані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крім</w:t>
      </w:r>
      <w:proofErr w:type="spellEnd"/>
      <w:r w:rsidRPr="003A6325">
        <w:rPr>
          <w:color w:val="000000"/>
          <w:sz w:val="28"/>
          <w:szCs w:val="28"/>
        </w:rPr>
        <w:t xml:space="preserve"> тих,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підлягають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Default="00FF5BA4" w:rsidP="00962B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587"/>
      <w:bookmarkEnd w:id="7"/>
      <w:r w:rsidRPr="003A6325">
        <w:rPr>
          <w:color w:val="000000"/>
          <w:sz w:val="28"/>
          <w:szCs w:val="28"/>
        </w:rPr>
        <w:t xml:space="preserve">До </w:t>
      </w:r>
      <w:proofErr w:type="spellStart"/>
      <w:r w:rsidRPr="003A6325">
        <w:rPr>
          <w:color w:val="000000"/>
          <w:sz w:val="28"/>
          <w:szCs w:val="28"/>
        </w:rPr>
        <w:t>об’єктів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</w:t>
      </w:r>
      <w:proofErr w:type="spellEnd"/>
      <w:r w:rsidRPr="003A6325">
        <w:rPr>
          <w:color w:val="000000"/>
          <w:sz w:val="28"/>
          <w:szCs w:val="28"/>
        </w:rPr>
        <w:t xml:space="preserve">-культурного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 належать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освіти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охорони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здоров’я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фізичної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 та спорту, туризму, </w:t>
      </w:r>
      <w:proofErr w:type="spellStart"/>
      <w:r w:rsidRPr="003A6325">
        <w:rPr>
          <w:color w:val="000000"/>
          <w:sz w:val="28"/>
          <w:szCs w:val="28"/>
        </w:rPr>
        <w:t>мистецтва</w:t>
      </w:r>
      <w:proofErr w:type="spellEnd"/>
      <w:r w:rsidRPr="003A6325">
        <w:rPr>
          <w:color w:val="000000"/>
          <w:sz w:val="28"/>
          <w:szCs w:val="28"/>
        </w:rPr>
        <w:t xml:space="preserve"> і </w:t>
      </w:r>
      <w:proofErr w:type="spellStart"/>
      <w:r w:rsidRPr="003A6325">
        <w:rPr>
          <w:color w:val="000000"/>
          <w:sz w:val="28"/>
          <w:szCs w:val="28"/>
        </w:rPr>
        <w:t>преси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телебачення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радіомовлення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видавничої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справи</w:t>
      </w:r>
      <w:proofErr w:type="spellEnd"/>
      <w:r w:rsidRPr="003A6325">
        <w:rPr>
          <w:color w:val="000000"/>
          <w:sz w:val="28"/>
          <w:szCs w:val="28"/>
        </w:rPr>
        <w:t>; санаторно-</w:t>
      </w:r>
      <w:proofErr w:type="spellStart"/>
      <w:r w:rsidRPr="003A6325">
        <w:rPr>
          <w:color w:val="000000"/>
          <w:sz w:val="28"/>
          <w:szCs w:val="28"/>
        </w:rPr>
        <w:t>курортні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заклади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будинки</w:t>
      </w:r>
      <w:proofErr w:type="spellEnd"/>
      <w:r w:rsidRPr="003A6325">
        <w:rPr>
          <w:color w:val="000000"/>
          <w:sz w:val="28"/>
          <w:szCs w:val="28"/>
        </w:rPr>
        <w:t xml:space="preserve"> і </w:t>
      </w:r>
      <w:proofErr w:type="spellStart"/>
      <w:r w:rsidRPr="003A6325">
        <w:rPr>
          <w:color w:val="000000"/>
          <w:sz w:val="28"/>
          <w:szCs w:val="28"/>
        </w:rPr>
        <w:t>табори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відпочинку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профілакторії</w:t>
      </w:r>
      <w:proofErr w:type="spellEnd"/>
      <w:r w:rsidRPr="003A6325">
        <w:rPr>
          <w:color w:val="000000"/>
          <w:sz w:val="28"/>
          <w:szCs w:val="28"/>
        </w:rPr>
        <w:t xml:space="preserve">; </w:t>
      </w:r>
      <w:proofErr w:type="spellStart"/>
      <w:r w:rsidRPr="003A6325">
        <w:rPr>
          <w:color w:val="000000"/>
          <w:sz w:val="28"/>
          <w:szCs w:val="28"/>
        </w:rPr>
        <w:t>інші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призначені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задоволення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соціальних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культурних</w:t>
      </w:r>
      <w:proofErr w:type="spellEnd"/>
      <w:r w:rsidRPr="003A6325">
        <w:rPr>
          <w:color w:val="000000"/>
          <w:sz w:val="28"/>
          <w:szCs w:val="28"/>
        </w:rPr>
        <w:t xml:space="preserve"> потреб </w:t>
      </w:r>
      <w:proofErr w:type="spellStart"/>
      <w:r w:rsidRPr="003A6325">
        <w:rPr>
          <w:color w:val="000000"/>
          <w:sz w:val="28"/>
          <w:szCs w:val="28"/>
        </w:rPr>
        <w:t>громадян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незалежно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вартості</w:t>
      </w:r>
      <w:proofErr w:type="spellEnd"/>
      <w:r w:rsidRPr="003A6325">
        <w:rPr>
          <w:color w:val="000000"/>
          <w:sz w:val="28"/>
          <w:szCs w:val="28"/>
        </w:rPr>
        <w:t xml:space="preserve"> майна;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</w:t>
      </w:r>
      <w:proofErr w:type="spellEnd"/>
      <w:r w:rsidRPr="003A6325">
        <w:rPr>
          <w:color w:val="000000"/>
          <w:sz w:val="28"/>
          <w:szCs w:val="28"/>
        </w:rPr>
        <w:t xml:space="preserve">-культурного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включені</w:t>
      </w:r>
      <w:proofErr w:type="spellEnd"/>
      <w:r w:rsidRPr="003A6325">
        <w:rPr>
          <w:color w:val="000000"/>
          <w:sz w:val="28"/>
          <w:szCs w:val="28"/>
        </w:rPr>
        <w:t xml:space="preserve"> до статутного </w:t>
      </w:r>
      <w:proofErr w:type="spellStart"/>
      <w:r w:rsidRPr="003A6325">
        <w:rPr>
          <w:color w:val="000000"/>
          <w:sz w:val="28"/>
          <w:szCs w:val="28"/>
        </w:rPr>
        <w:t>капіталу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господарських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перебувають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балансі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не включено до складу майна,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передається</w:t>
      </w:r>
      <w:proofErr w:type="spellEnd"/>
      <w:r w:rsidRPr="003A6325">
        <w:rPr>
          <w:color w:val="000000"/>
          <w:sz w:val="28"/>
          <w:szCs w:val="28"/>
        </w:rPr>
        <w:t xml:space="preserve"> у </w:t>
      </w:r>
      <w:proofErr w:type="spellStart"/>
      <w:r w:rsidRPr="003A6325">
        <w:rPr>
          <w:color w:val="000000"/>
          <w:sz w:val="28"/>
          <w:szCs w:val="28"/>
        </w:rPr>
        <w:t>комунальну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власність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F5BA4" w:rsidRPr="0085112B" w:rsidRDefault="00FF5BA4" w:rsidP="00FF5B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112B">
        <w:rPr>
          <w:rFonts w:ascii="Times New Roman" w:hAnsi="Times New Roman" w:cs="Times New Roman"/>
          <w:b/>
          <w:bCs/>
          <w:sz w:val="24"/>
          <w:szCs w:val="24"/>
        </w:rPr>
        <w:t>. ЗАВДАННЯ ПРОГРАМИ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12B">
        <w:rPr>
          <w:rFonts w:ascii="Times New Roman" w:hAnsi="Times New Roman" w:cs="Times New Roman"/>
          <w:sz w:val="28"/>
          <w:szCs w:val="28"/>
        </w:rPr>
        <w:t>Завданнями Програми є: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збільшення обсягів інвестицій, які залучаються в ході приватизації; 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забезпечення грошових надходжень до </w:t>
      </w:r>
      <w:r>
        <w:rPr>
          <w:rFonts w:ascii="Times New Roman" w:hAnsi="Times New Roman" w:cs="Times New Roman"/>
          <w:sz w:val="28"/>
          <w:szCs w:val="28"/>
        </w:rPr>
        <w:t>місцевого бюджету</w:t>
      </w:r>
      <w:r w:rsidRPr="0085112B">
        <w:rPr>
          <w:rFonts w:ascii="Times New Roman" w:hAnsi="Times New Roman" w:cs="Times New Roman"/>
          <w:sz w:val="28"/>
          <w:szCs w:val="28"/>
        </w:rPr>
        <w:t xml:space="preserve"> від приватизації;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>залучення додаткових коштів на соціально-ек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12B">
        <w:rPr>
          <w:rFonts w:ascii="Times New Roman" w:hAnsi="Times New Roman" w:cs="Times New Roman"/>
          <w:sz w:val="28"/>
          <w:szCs w:val="28"/>
        </w:rPr>
        <w:t xml:space="preserve">номічні програми розвитку </w:t>
      </w:r>
      <w:r>
        <w:rPr>
          <w:rFonts w:ascii="Times New Roman" w:hAnsi="Times New Roman" w:cs="Times New Roman"/>
          <w:sz w:val="28"/>
          <w:szCs w:val="28"/>
        </w:rPr>
        <w:t>району.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 ФІНАНСОВЕ ЗАБЕЗПЕЧЕННЯ ВИКОНАННЯ ПРОГРАМИ</w:t>
      </w:r>
    </w:p>
    <w:p w:rsidR="008357C2" w:rsidRPr="00F465F9" w:rsidRDefault="008357C2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Заходи, пов’язані з виконанням Програми, фінансуються із загального фонду </w:t>
      </w:r>
      <w:r>
        <w:rPr>
          <w:rFonts w:ascii="Times New Roman" w:hAnsi="Times New Roman" w:cs="Times New Roman"/>
          <w:sz w:val="28"/>
          <w:szCs w:val="28"/>
        </w:rPr>
        <w:t>місцевого</w:t>
      </w:r>
      <w:r w:rsidRPr="00C928F7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F7">
        <w:rPr>
          <w:rFonts w:ascii="Times New Roman" w:hAnsi="Times New Roman" w:cs="Times New Roman"/>
          <w:sz w:val="28"/>
          <w:szCs w:val="28"/>
        </w:rPr>
        <w:t>і використовуються на: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проведення інформаційної діяльності з висвітлення процесів приватизації;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оплату послуг організацій та осіб, залучених до процесів приватизації (виготовлення технічної документації, свідоцтв на право власності, реєстрацію права власності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28F7">
        <w:rPr>
          <w:rFonts w:ascii="Times New Roman" w:hAnsi="Times New Roman" w:cs="Times New Roman"/>
          <w:sz w:val="28"/>
          <w:szCs w:val="28"/>
        </w:rPr>
        <w:t xml:space="preserve"> оплату послуг суб’єктів оціночної діяльності з незалежної оцінки комунального майна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інші витрати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A4" w:rsidRPr="00C928F7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КОНТРОЛЬ ЗА ВИКОНАННЯМ ПРОГРАМИ</w:t>
      </w:r>
    </w:p>
    <w:p w:rsidR="008357C2" w:rsidRDefault="008357C2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>
        <w:rPr>
          <w:rFonts w:ascii="Times New Roman" w:hAnsi="Times New Roman" w:cs="Times New Roman"/>
          <w:sz w:val="28"/>
          <w:szCs w:val="28"/>
        </w:rPr>
        <w:t>Ужгородська районна</w:t>
      </w:r>
      <w:r w:rsidRPr="00C928F7">
        <w:rPr>
          <w:rFonts w:ascii="Times New Roman" w:hAnsi="Times New Roman" w:cs="Times New Roman"/>
          <w:sz w:val="28"/>
          <w:szCs w:val="28"/>
        </w:rPr>
        <w:t xml:space="preserve"> рада через профільну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та голову районної ради.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D8B" w:rsidRDefault="00581D8B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581D8B" w:rsidRDefault="00581D8B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від______</w:t>
      </w:r>
      <w:r w:rsidR="0093153A">
        <w:rPr>
          <w:rFonts w:ascii="Times New Roman" w:hAnsi="Times New Roman" w:cs="Times New Roman"/>
          <w:b/>
          <w:sz w:val="28"/>
          <w:szCs w:val="28"/>
        </w:rPr>
        <w:t>__</w:t>
      </w:r>
      <w:r w:rsidRPr="008F799C">
        <w:rPr>
          <w:rFonts w:ascii="Times New Roman" w:hAnsi="Times New Roman" w:cs="Times New Roman"/>
          <w:b/>
          <w:sz w:val="28"/>
          <w:szCs w:val="28"/>
        </w:rPr>
        <w:t>__№_______</w:t>
      </w:r>
    </w:p>
    <w:p w:rsidR="00FF5BA4" w:rsidRPr="0093153A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Pr="00F26E1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FF5BA4" w:rsidRPr="00F26E1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власності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сіл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селища Ужгородського району,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які підлягають приватизації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18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2410"/>
        <w:gridCol w:w="1763"/>
      </w:tblGrid>
      <w:tr w:rsidR="00FF5BA4" w:rsidRPr="00F26E14" w:rsidTr="00A01163">
        <w:trPr>
          <w:trHeight w:val="297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26E14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Адреса 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ind w:left="-108" w:right="-187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921987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A00F07" w:rsidRDefault="00FF5BA4" w:rsidP="00A01163">
            <w:pPr>
              <w:pStyle w:val="Default"/>
              <w:rPr>
                <w:color w:val="FF0000"/>
                <w:sz w:val="28"/>
                <w:szCs w:val="28"/>
              </w:rPr>
            </w:pPr>
            <w:r w:rsidRPr="00A00F07">
              <w:rPr>
                <w:color w:val="FF0000"/>
                <w:sz w:val="28"/>
                <w:szCs w:val="28"/>
                <w:lang w:val="uk-UA"/>
              </w:rPr>
              <w:t>Група інвентарних об’єктів                       (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літ.АА’-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251,30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               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літ.Б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-20,0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 огорожа, споруда (тротуар) колишньої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нефункціонуючої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лікарні</w:t>
            </w:r>
            <w:r w:rsidRPr="00A00F0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Pr="00A00F07" w:rsidRDefault="00FF5BA4" w:rsidP="00A01163">
            <w:pPr>
              <w:pStyle w:val="Default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A00F07">
              <w:rPr>
                <w:color w:val="FF0000"/>
                <w:sz w:val="28"/>
                <w:szCs w:val="28"/>
              </w:rPr>
              <w:t xml:space="preserve">м. 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Чоп, </w:t>
            </w:r>
          </w:p>
          <w:p w:rsidR="00FF5BA4" w:rsidRPr="00A00F07" w:rsidRDefault="00FF5BA4" w:rsidP="00B166F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вул.Квітова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, </w:t>
            </w:r>
            <w:r w:rsidR="00B166F8" w:rsidRPr="00A00F07">
              <w:rPr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63" w:type="dxa"/>
          </w:tcPr>
          <w:p w:rsidR="00FF5BA4" w:rsidRPr="00A00F07" w:rsidRDefault="00FF5BA4" w:rsidP="00A01163">
            <w:pPr>
              <w:pStyle w:val="Default"/>
              <w:rPr>
                <w:color w:val="FF0000"/>
                <w:sz w:val="28"/>
                <w:szCs w:val="28"/>
              </w:rPr>
            </w:pPr>
            <w:proofErr w:type="spellStart"/>
            <w:r w:rsidRPr="00A00F07">
              <w:rPr>
                <w:color w:val="FF0000"/>
                <w:sz w:val="28"/>
                <w:szCs w:val="28"/>
              </w:rPr>
              <w:t>Аукціон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F26E14" w:rsidRDefault="00921987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A00F07" w:rsidRDefault="00FF5BA4" w:rsidP="00A01163">
            <w:pPr>
              <w:pStyle w:val="Default"/>
              <w:rPr>
                <w:color w:val="FF0000"/>
                <w:sz w:val="28"/>
                <w:szCs w:val="28"/>
              </w:rPr>
            </w:pPr>
            <w:r w:rsidRPr="00A00F07">
              <w:rPr>
                <w:color w:val="FF0000"/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літ.А-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1563,70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літ.Б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- 55,80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літ.В-15,70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літ.В’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-32,50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кв.м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., огорожа) колишньої </w:t>
            </w: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нефункціонуючої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лікарні</w:t>
            </w:r>
            <w:r w:rsidRPr="00A00F0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Pr="00A00F07" w:rsidRDefault="00FF5BA4" w:rsidP="00A01163">
            <w:pPr>
              <w:pStyle w:val="Default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A00F07">
              <w:rPr>
                <w:color w:val="FF0000"/>
                <w:sz w:val="28"/>
                <w:szCs w:val="28"/>
              </w:rPr>
              <w:t xml:space="preserve">м. 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Чоп, </w:t>
            </w:r>
          </w:p>
          <w:p w:rsidR="00FF5BA4" w:rsidRPr="00A00F07" w:rsidRDefault="00FF5BA4" w:rsidP="00A0116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A00F07">
              <w:rPr>
                <w:color w:val="FF0000"/>
                <w:sz w:val="28"/>
                <w:szCs w:val="28"/>
                <w:lang w:val="uk-UA"/>
              </w:rPr>
              <w:t>вул.Миру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>,3</w:t>
            </w:r>
          </w:p>
        </w:tc>
        <w:tc>
          <w:tcPr>
            <w:tcW w:w="1763" w:type="dxa"/>
          </w:tcPr>
          <w:p w:rsidR="00FF5BA4" w:rsidRPr="00A00F07" w:rsidRDefault="00FF5BA4" w:rsidP="00A01163">
            <w:pPr>
              <w:pStyle w:val="Default"/>
              <w:rPr>
                <w:color w:val="FF0000"/>
                <w:sz w:val="28"/>
                <w:szCs w:val="28"/>
              </w:rPr>
            </w:pPr>
            <w:proofErr w:type="spellStart"/>
            <w:r w:rsidRPr="00A00F07">
              <w:rPr>
                <w:color w:val="FF0000"/>
                <w:sz w:val="28"/>
                <w:szCs w:val="28"/>
              </w:rPr>
              <w:t>Аукціон</w:t>
            </w:r>
            <w:proofErr w:type="spellEnd"/>
          </w:p>
        </w:tc>
      </w:tr>
    </w:tbl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153A" w:rsidRP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77FB7" w:rsidRDefault="00A77FB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77FB7" w:rsidRDefault="00A77FB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AD3854" w:rsidRDefault="00AD385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921987" w:rsidRDefault="00921987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8F799C">
        <w:rPr>
          <w:rFonts w:ascii="Times New Roman" w:hAnsi="Times New Roman" w:cs="Times New Roman"/>
          <w:b/>
          <w:sz w:val="28"/>
          <w:szCs w:val="28"/>
        </w:rPr>
        <w:t>від_____</w:t>
      </w:r>
      <w:proofErr w:type="spellEnd"/>
      <w:r w:rsidRPr="008F799C">
        <w:rPr>
          <w:rFonts w:ascii="Times New Roman" w:hAnsi="Times New Roman" w:cs="Times New Roman"/>
          <w:b/>
          <w:sz w:val="28"/>
          <w:szCs w:val="28"/>
        </w:rPr>
        <w:t>___№_______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854" w:rsidRDefault="00AD385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854" w:rsidRPr="008F799C" w:rsidRDefault="00AD3854" w:rsidP="00AD38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Розрахунок потреби коштів </w:t>
      </w:r>
    </w:p>
    <w:p w:rsidR="00FF5BA4" w:rsidRDefault="00AD3854" w:rsidP="00AD38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виконання Програми на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F799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AA0C7E" w:rsidRDefault="00AA0C7E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C7E" w:rsidRDefault="00AA0C7E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Pr="00EF6302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2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1984"/>
        <w:gridCol w:w="1985"/>
      </w:tblGrid>
      <w:tr w:rsidR="004A253E" w:rsidRPr="00F26E14" w:rsidTr="004A253E">
        <w:trPr>
          <w:trHeight w:val="297"/>
        </w:trPr>
        <w:tc>
          <w:tcPr>
            <w:tcW w:w="959" w:type="dxa"/>
            <w:vMerge w:val="restart"/>
          </w:tcPr>
          <w:p w:rsidR="004A253E" w:rsidRPr="00F26E14" w:rsidRDefault="004A253E" w:rsidP="00A01163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26E1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4A253E" w:rsidRPr="00F26E14" w:rsidRDefault="004A253E" w:rsidP="00A0116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1984" w:type="dxa"/>
          </w:tcPr>
          <w:p w:rsidR="004A253E" w:rsidRPr="005A371C" w:rsidRDefault="004A253E" w:rsidP="00A01163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4A253E" w:rsidRDefault="004A253E" w:rsidP="00A01163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4A253E" w:rsidRPr="00F26E14" w:rsidTr="004A253E">
        <w:trPr>
          <w:trHeight w:val="297"/>
        </w:trPr>
        <w:tc>
          <w:tcPr>
            <w:tcW w:w="959" w:type="dxa"/>
            <w:vMerge/>
          </w:tcPr>
          <w:p w:rsidR="004A253E" w:rsidRPr="00F26E14" w:rsidRDefault="004A253E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4A253E" w:rsidRPr="00F26E14" w:rsidRDefault="004A253E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53E" w:rsidRPr="005A371C" w:rsidRDefault="004A253E" w:rsidP="00A0116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2019 рік</w:t>
            </w:r>
          </w:p>
          <w:p w:rsidR="004A253E" w:rsidRPr="005A371C" w:rsidRDefault="004A253E" w:rsidP="00A01163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A253E" w:rsidRDefault="004A253E" w:rsidP="00A0116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2020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рік </w:t>
            </w:r>
          </w:p>
        </w:tc>
      </w:tr>
      <w:tr w:rsidR="004A253E" w:rsidRPr="00F26E14" w:rsidTr="004A253E">
        <w:trPr>
          <w:trHeight w:val="319"/>
        </w:trPr>
        <w:tc>
          <w:tcPr>
            <w:tcW w:w="959" w:type="dxa"/>
          </w:tcPr>
          <w:p w:rsidR="004A253E" w:rsidRPr="00F26E14" w:rsidRDefault="004A253E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4A253E" w:rsidRPr="00A00F07" w:rsidRDefault="004A253E" w:rsidP="00A0116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A00F07">
              <w:rPr>
                <w:color w:val="FF0000"/>
                <w:sz w:val="28"/>
                <w:szCs w:val="28"/>
              </w:rPr>
              <w:t>Інформаційні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послуги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розміщення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оголошень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у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засобах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масової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інформації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) 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A00F0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253E" w:rsidRPr="00A00F07" w:rsidRDefault="004A253E" w:rsidP="004A253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2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,</w:t>
            </w:r>
            <w:r>
              <w:rPr>
                <w:color w:val="FF0000"/>
                <w:sz w:val="28"/>
                <w:szCs w:val="28"/>
                <w:lang w:val="uk-UA"/>
              </w:rPr>
              <w:t>5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985" w:type="dxa"/>
          </w:tcPr>
          <w:p w:rsidR="004A253E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2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,</w:t>
            </w:r>
            <w:r>
              <w:rPr>
                <w:color w:val="FF0000"/>
                <w:sz w:val="28"/>
                <w:szCs w:val="28"/>
                <w:lang w:val="uk-UA"/>
              </w:rPr>
              <w:t>5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00</w:t>
            </w:r>
          </w:p>
        </w:tc>
      </w:tr>
      <w:tr w:rsidR="004A253E" w:rsidRPr="00F26E14" w:rsidTr="004A253E">
        <w:trPr>
          <w:trHeight w:val="910"/>
        </w:trPr>
        <w:tc>
          <w:tcPr>
            <w:tcW w:w="959" w:type="dxa"/>
          </w:tcPr>
          <w:p w:rsidR="004A253E" w:rsidRPr="00F26E14" w:rsidRDefault="004A253E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4A253E" w:rsidRPr="00A00F07" w:rsidRDefault="004A253E" w:rsidP="00A01163">
            <w:pPr>
              <w:pStyle w:val="Default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A00F07">
              <w:rPr>
                <w:color w:val="FF0000"/>
                <w:sz w:val="28"/>
                <w:szCs w:val="28"/>
                <w:lang w:val="uk-UA"/>
              </w:rPr>
              <w:t>О</w:t>
            </w:r>
            <w:r w:rsidRPr="00A00F07">
              <w:rPr>
                <w:color w:val="FF0000"/>
                <w:sz w:val="28"/>
                <w:szCs w:val="28"/>
              </w:rPr>
              <w:t xml:space="preserve">плата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послуг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суб’єктів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оціночної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діяльності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</w:tcPr>
          <w:p w:rsidR="004A253E" w:rsidRPr="00A00F07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50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,000</w:t>
            </w:r>
          </w:p>
          <w:p w:rsidR="004A253E" w:rsidRPr="00A00F07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A253E" w:rsidRPr="00A00F07" w:rsidRDefault="004A253E" w:rsidP="004A253E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50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,000</w:t>
            </w:r>
          </w:p>
          <w:p w:rsidR="004A253E" w:rsidRPr="00A00F07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A253E" w:rsidRPr="00F26E14" w:rsidTr="004A253E">
        <w:trPr>
          <w:trHeight w:val="1556"/>
        </w:trPr>
        <w:tc>
          <w:tcPr>
            <w:tcW w:w="959" w:type="dxa"/>
          </w:tcPr>
          <w:p w:rsidR="004A253E" w:rsidRPr="00F26E14" w:rsidRDefault="004A253E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4A253E" w:rsidRPr="00A00F07" w:rsidRDefault="004A253E" w:rsidP="00A01163">
            <w:pPr>
              <w:pStyle w:val="Default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A00F07">
              <w:rPr>
                <w:color w:val="FF0000"/>
                <w:sz w:val="28"/>
                <w:szCs w:val="28"/>
                <w:lang w:val="uk-UA"/>
              </w:rPr>
              <w:t>О</w:t>
            </w:r>
            <w:r w:rsidRPr="00A00F07">
              <w:rPr>
                <w:color w:val="FF0000"/>
                <w:sz w:val="28"/>
                <w:szCs w:val="28"/>
              </w:rPr>
              <w:t>плат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а</w:t>
            </w:r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послуг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організацій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осіб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залучених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до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процесів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приватизації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виготовлення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технічної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документації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свідоцтв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на право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власності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реєстрацію</w:t>
            </w:r>
            <w:proofErr w:type="spellEnd"/>
            <w:r w:rsidRPr="00A00F07">
              <w:rPr>
                <w:color w:val="FF0000"/>
                <w:sz w:val="28"/>
                <w:szCs w:val="28"/>
              </w:rPr>
              <w:t xml:space="preserve"> права </w:t>
            </w:r>
            <w:proofErr w:type="spellStart"/>
            <w:r w:rsidRPr="00A00F07">
              <w:rPr>
                <w:color w:val="FF0000"/>
                <w:sz w:val="28"/>
                <w:szCs w:val="28"/>
              </w:rPr>
              <w:t>власності</w:t>
            </w:r>
            <w:proofErr w:type="spellEnd"/>
            <w:r w:rsidRPr="00A00F07">
              <w:rPr>
                <w:color w:val="FF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4A253E" w:rsidRPr="00A00F07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1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1985" w:type="dxa"/>
          </w:tcPr>
          <w:p w:rsidR="004A253E" w:rsidRPr="00A00F07" w:rsidRDefault="004A253E" w:rsidP="00A01163">
            <w:pPr>
              <w:pStyle w:val="Defaul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1</w:t>
            </w:r>
            <w:r w:rsidRPr="00A00F07">
              <w:rPr>
                <w:color w:val="FF0000"/>
                <w:sz w:val="28"/>
                <w:szCs w:val="28"/>
                <w:lang w:val="uk-UA"/>
              </w:rPr>
              <w:t>00,000</w:t>
            </w:r>
          </w:p>
        </w:tc>
      </w:tr>
    </w:tbl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/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00F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r w:rsidR="00AA0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0E1582" w:rsidRDefault="000E1582"/>
    <w:sectPr w:rsidR="000E1582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4"/>
    <w:rsid w:val="000E1582"/>
    <w:rsid w:val="00117238"/>
    <w:rsid w:val="001F7263"/>
    <w:rsid w:val="0022084D"/>
    <w:rsid w:val="002E1DA9"/>
    <w:rsid w:val="004A253E"/>
    <w:rsid w:val="004E2629"/>
    <w:rsid w:val="004F69A9"/>
    <w:rsid w:val="005276F8"/>
    <w:rsid w:val="00554031"/>
    <w:rsid w:val="00581D8B"/>
    <w:rsid w:val="006E0271"/>
    <w:rsid w:val="007F2682"/>
    <w:rsid w:val="008357C2"/>
    <w:rsid w:val="0085706B"/>
    <w:rsid w:val="00921987"/>
    <w:rsid w:val="0093153A"/>
    <w:rsid w:val="00942D07"/>
    <w:rsid w:val="009565FA"/>
    <w:rsid w:val="00962B0F"/>
    <w:rsid w:val="00A00F07"/>
    <w:rsid w:val="00A77FB7"/>
    <w:rsid w:val="00AA0C7E"/>
    <w:rsid w:val="00AD3854"/>
    <w:rsid w:val="00B166F8"/>
    <w:rsid w:val="00D843B6"/>
    <w:rsid w:val="00DE6F9A"/>
    <w:rsid w:val="00E21188"/>
    <w:rsid w:val="00FA4B8F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2019-05-07T14:01:00Z</cp:lastPrinted>
  <dcterms:created xsi:type="dcterms:W3CDTF">2019-05-07T14:02:00Z</dcterms:created>
  <dcterms:modified xsi:type="dcterms:W3CDTF">2019-05-07T14:02:00Z</dcterms:modified>
</cp:coreProperties>
</file>